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1080" w:firstLineChars="300"/>
        <w:rPr>
          <w:rStyle w:val="10"/>
          <w:rFonts w:ascii="黑体" w:eastAsia="黑体"/>
          <w:color w:val="000000"/>
          <w:sz w:val="36"/>
          <w:szCs w:val="36"/>
          <w:u w:val="single"/>
        </w:rPr>
      </w:pPr>
      <w:r>
        <w:rPr>
          <w:rStyle w:val="10"/>
          <w:rFonts w:hint="eastAsia" w:ascii="黑体" w:eastAsia="黑体"/>
          <w:color w:val="000000"/>
          <w:sz w:val="36"/>
          <w:szCs w:val="36"/>
          <w:u w:val="single"/>
        </w:rPr>
        <w:t>2021</w:t>
      </w:r>
      <w:r>
        <w:rPr>
          <w:rStyle w:val="10"/>
          <w:rFonts w:hint="eastAsia" w:ascii="黑体" w:eastAsia="黑体"/>
          <w:color w:val="000000"/>
          <w:sz w:val="36"/>
          <w:szCs w:val="36"/>
        </w:rPr>
        <w:t>年天津外国语大学国际教育学院</w:t>
      </w:r>
    </w:p>
    <w:p>
      <w:pPr>
        <w:spacing w:line="360" w:lineRule="auto"/>
        <w:jc w:val="center"/>
        <w:rPr>
          <w:rStyle w:val="10"/>
          <w:rFonts w:ascii="黑体" w:eastAsia="黑体"/>
          <w:color w:val="000000"/>
          <w:sz w:val="36"/>
          <w:szCs w:val="36"/>
        </w:rPr>
      </w:pPr>
      <w:r>
        <w:rPr>
          <w:rStyle w:val="10"/>
          <w:rFonts w:hint="eastAsia" w:ascii="黑体" w:eastAsia="黑体"/>
          <w:color w:val="000000"/>
          <w:sz w:val="36"/>
          <w:szCs w:val="36"/>
        </w:rPr>
        <w:t>关于接收推免生的实施方案</w:t>
      </w:r>
    </w:p>
    <w:p>
      <w:pPr>
        <w:spacing w:line="360" w:lineRule="auto"/>
        <w:rPr>
          <w:rStyle w:val="10"/>
          <w:color w:val="000000"/>
        </w:rPr>
      </w:pPr>
    </w:p>
    <w:p>
      <w:pPr>
        <w:pStyle w:val="11"/>
        <w:spacing w:line="360" w:lineRule="auto"/>
        <w:ind w:firstLine="600"/>
        <w:rPr>
          <w:rFonts w:ascii="仿宋" w:hAnsi="仿宋" w:eastAsia="仿宋" w:cs="仿宋"/>
          <w:sz w:val="30"/>
          <w:szCs w:val="30"/>
        </w:rPr>
      </w:pPr>
      <w:r>
        <w:rPr>
          <w:rFonts w:hint="eastAsia" w:ascii="仿宋" w:hAnsi="仿宋" w:eastAsia="仿宋" w:cs="仿宋"/>
          <w:sz w:val="30"/>
          <w:szCs w:val="30"/>
        </w:rPr>
        <w:t>天津外国语大学国际教育学院推免生接收录取按照《教育部办公厅关于进一步完善推荐优秀应届本科毕业生免试攻读研究生工作办法的通知》（教学厅[2014]5号）文件精神，我校《天津外国语大学2021年关于接收优秀应届本科毕业生免试攻读硕士学位研究生工作办法》执行。</w:t>
      </w:r>
    </w:p>
    <w:p>
      <w:pPr>
        <w:pStyle w:val="11"/>
        <w:spacing w:line="360" w:lineRule="auto"/>
        <w:ind w:firstLine="602"/>
        <w:rPr>
          <w:rFonts w:ascii="仿宋" w:hAnsi="仿宋" w:eastAsia="仿宋" w:cs="仿宋"/>
          <w:b/>
          <w:bCs/>
          <w:sz w:val="30"/>
          <w:szCs w:val="30"/>
        </w:rPr>
      </w:pPr>
      <w:r>
        <w:rPr>
          <w:rFonts w:hint="eastAsia" w:ascii="仿宋" w:hAnsi="仿宋" w:eastAsia="仿宋" w:cs="仿宋"/>
          <w:b/>
          <w:bCs/>
          <w:sz w:val="30"/>
          <w:szCs w:val="30"/>
        </w:rPr>
        <w:t>一、工作原则</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1、从提高“研究生选拔质量、培养拔尖创新人才”的角度对此项工作高度重视，确保工作顺利进行，接收工作做到公开、公平、公正。</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2、坚持德、智、体、美、劳全面衡量、择优选拔原则。在对考生平时学习和科研能力综合测评基础上，突出对考生创新精神、创新能力、学术潜质和专业能力倾向等的考查。</w:t>
      </w:r>
    </w:p>
    <w:p>
      <w:pPr>
        <w:pStyle w:val="11"/>
        <w:spacing w:line="360" w:lineRule="auto"/>
        <w:ind w:firstLine="602"/>
        <w:rPr>
          <w:rFonts w:ascii="仿宋" w:hAnsi="仿宋" w:eastAsia="仿宋" w:cs="仿宋"/>
          <w:b/>
          <w:bCs/>
          <w:sz w:val="30"/>
          <w:szCs w:val="30"/>
        </w:rPr>
      </w:pPr>
      <w:r>
        <w:rPr>
          <w:rFonts w:hint="eastAsia" w:ascii="仿宋" w:hAnsi="仿宋" w:eastAsia="仿宋" w:cs="仿宋"/>
          <w:b/>
          <w:bCs/>
          <w:sz w:val="30"/>
          <w:szCs w:val="30"/>
        </w:rPr>
        <w:t>二、招生计划</w:t>
      </w:r>
    </w:p>
    <w:p>
      <w:pPr>
        <w:keepNext w:val="0"/>
        <w:keepLines w:val="0"/>
        <w:pageBreakBefore w:val="0"/>
        <w:widowControl/>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_GB2312" w:cs="仿宋"/>
          <w:color w:val="000000"/>
          <w:kern w:val="0"/>
          <w:sz w:val="30"/>
          <w:szCs w:val="30"/>
          <w:lang w:eastAsia="zh-CN"/>
        </w:rPr>
      </w:pPr>
      <w:r>
        <w:rPr>
          <w:rFonts w:hint="eastAsia" w:ascii="仿宋" w:hAnsi="仿宋" w:eastAsia="仿宋" w:cs="仿宋"/>
          <w:color w:val="000000"/>
          <w:kern w:val="0"/>
          <w:sz w:val="30"/>
          <w:szCs w:val="30"/>
        </w:rPr>
        <w:t>我院202</w:t>
      </w:r>
      <w:r>
        <w:rPr>
          <w:rFonts w:hint="eastAsia" w:ascii="仿宋" w:hAnsi="仿宋" w:eastAsia="仿宋" w:cs="仿宋"/>
          <w:color w:val="000000"/>
          <w:kern w:val="0"/>
          <w:sz w:val="30"/>
          <w:szCs w:val="30"/>
          <w:lang w:val="en-US" w:eastAsia="zh-CN"/>
        </w:rPr>
        <w:t>1</w:t>
      </w:r>
      <w:r>
        <w:rPr>
          <w:rFonts w:hint="eastAsia" w:ascii="仿宋" w:hAnsi="仿宋" w:eastAsia="仿宋" w:cs="仿宋"/>
          <w:color w:val="000000"/>
          <w:kern w:val="0"/>
          <w:sz w:val="30"/>
          <w:szCs w:val="30"/>
        </w:rPr>
        <w:t>年度接收语言学及应用语言学、汉语言文字学、汉语国际教育三个专业的推免生，</w:t>
      </w:r>
      <w:r>
        <w:rPr>
          <w:rFonts w:hint="eastAsia" w:ascii="仿宋_GB2312" w:hAnsi="仿宋" w:eastAsia="仿宋_GB2312" w:cs="Times New Roman"/>
          <w:bCs/>
          <w:kern w:val="2"/>
          <w:sz w:val="32"/>
          <w:szCs w:val="32"/>
        </w:rPr>
        <w:t>接收名额不超过202</w:t>
      </w:r>
      <w:r>
        <w:rPr>
          <w:rFonts w:hint="eastAsia" w:ascii="仿宋_GB2312" w:hAnsi="仿宋" w:eastAsia="仿宋_GB2312" w:cs="Times New Roman"/>
          <w:bCs/>
          <w:kern w:val="2"/>
          <w:sz w:val="32"/>
          <w:szCs w:val="32"/>
          <w:lang w:val="en-US" w:eastAsia="zh-CN"/>
        </w:rPr>
        <w:t>1</w:t>
      </w:r>
      <w:r>
        <w:rPr>
          <w:rFonts w:hint="eastAsia" w:ascii="仿宋_GB2312" w:hAnsi="仿宋" w:eastAsia="仿宋_GB2312" w:cs="Times New Roman"/>
          <w:bCs/>
          <w:kern w:val="2"/>
          <w:sz w:val="32"/>
          <w:szCs w:val="32"/>
        </w:rPr>
        <w:t>年各专业招生计划的50%</w:t>
      </w:r>
      <w:r>
        <w:rPr>
          <w:rFonts w:hint="eastAsia" w:ascii="仿宋_GB2312" w:hAnsi="仿宋" w:eastAsia="仿宋_GB2312" w:cs="Times New Roman"/>
          <w:bCs/>
          <w:kern w:val="2"/>
          <w:sz w:val="32"/>
          <w:szCs w:val="32"/>
          <w:lang w:eastAsia="zh-CN"/>
        </w:rPr>
        <w:t>。</w:t>
      </w:r>
    </w:p>
    <w:p>
      <w:pPr>
        <w:widowControl/>
        <w:spacing w:line="360" w:lineRule="auto"/>
        <w:ind w:firstLine="602" w:firstLineChars="200"/>
        <w:rPr>
          <w:rFonts w:ascii="仿宋" w:hAnsi="仿宋" w:eastAsia="仿宋" w:cs="仿宋"/>
          <w:b/>
          <w:bCs/>
          <w:sz w:val="30"/>
          <w:szCs w:val="30"/>
        </w:rPr>
      </w:pPr>
      <w:r>
        <w:rPr>
          <w:rFonts w:hint="eastAsia" w:ascii="仿宋" w:hAnsi="仿宋" w:eastAsia="仿宋" w:cs="仿宋"/>
          <w:b/>
          <w:bCs/>
          <w:color w:val="000000"/>
          <w:kern w:val="0"/>
          <w:sz w:val="30"/>
          <w:szCs w:val="30"/>
        </w:rPr>
        <w:t>三</w:t>
      </w:r>
      <w:r>
        <w:rPr>
          <w:rFonts w:hint="eastAsia" w:ascii="仿宋" w:hAnsi="仿宋" w:eastAsia="仿宋" w:cs="仿宋"/>
          <w:color w:val="000000"/>
          <w:kern w:val="0"/>
          <w:sz w:val="30"/>
          <w:szCs w:val="30"/>
        </w:rPr>
        <w:t>、</w:t>
      </w:r>
      <w:r>
        <w:rPr>
          <w:rFonts w:hint="eastAsia" w:ascii="仿宋" w:hAnsi="仿宋" w:eastAsia="仿宋" w:cs="仿宋"/>
          <w:b/>
          <w:bCs/>
          <w:sz w:val="30"/>
          <w:szCs w:val="30"/>
        </w:rPr>
        <w:t>申请条件</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1.申请人须是高校推荐的具有推荐免试资格的2021届优秀本科毕业生，推荐手续与材料齐全。</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2.申请人拥护中国共产党的领导，拥护社会主义制度，有为祖国科学事业献身精神且有科研潜力，品德良好，遵纪守法，刻苦学习，勤于思考，有创新意识，身体健康。在学期间无任何违纪处分记录。</w:t>
      </w:r>
    </w:p>
    <w:p>
      <w:pPr>
        <w:pStyle w:val="11"/>
        <w:spacing w:line="360" w:lineRule="auto"/>
        <w:ind w:firstLine="600"/>
        <w:rPr>
          <w:rFonts w:ascii="仿宋" w:hAnsi="仿宋" w:eastAsia="仿宋" w:cs="仿宋"/>
          <w:bCs/>
          <w:sz w:val="30"/>
          <w:szCs w:val="30"/>
        </w:rPr>
      </w:pPr>
      <w:r>
        <w:rPr>
          <w:rFonts w:hint="eastAsia" w:ascii="仿宋" w:hAnsi="仿宋" w:eastAsia="仿宋" w:cs="仿宋"/>
          <w:bCs/>
          <w:sz w:val="30"/>
          <w:szCs w:val="30"/>
        </w:rPr>
        <w:t>3.国家双一流高校、省部级及以上各类专业比赛获奖以及获得省部级及以上优秀学生奖励、有境外学习经历、本校优秀毕业生报考我校优先考虑，录取的推免研究生在奖学金评定、研究方向选择、出国教育项目方面予以倾斜。推免生入学后第一学年享有研究生一等学业奖学金以及每年6000元研究生国家助学金。表现优秀者就读期间还可申请硕士研究生国家奖学金，奖金20000元/年。</w:t>
      </w:r>
    </w:p>
    <w:p>
      <w:pPr>
        <w:pStyle w:val="11"/>
        <w:spacing w:line="360" w:lineRule="auto"/>
        <w:ind w:firstLine="602"/>
        <w:rPr>
          <w:rFonts w:ascii="仿宋" w:hAnsi="仿宋" w:eastAsia="仿宋" w:cs="仿宋"/>
          <w:bCs/>
          <w:sz w:val="30"/>
          <w:szCs w:val="30"/>
        </w:rPr>
      </w:pPr>
      <w:r>
        <w:rPr>
          <w:rFonts w:hint="eastAsia" w:ascii="仿宋" w:hAnsi="仿宋" w:eastAsia="仿宋" w:cs="仿宋"/>
          <w:b/>
          <w:sz w:val="30"/>
          <w:szCs w:val="30"/>
        </w:rPr>
        <w:t>四、申请办法</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1.具有推免生资格的考生在“全国推荐优秀应届本科毕业生免试攻读研究生信息公开暨管理服务系统”（以下简称“推免服务系统”，网址:http://yz.chsi.com.cn/tm）进行注册，填报我校相关接收专业。</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2.被我校接收参加复试的推免生须提供以下材料：</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(1)有效期内的身份证原件、每学期均注册的学生证；</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(2)本科三学年成绩单及所在专业排名，须加盖校教务处公章；</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(3)外语等级证书原件及复印件；</w:t>
      </w:r>
    </w:p>
    <w:p>
      <w:pPr>
        <w:widowControl/>
        <w:spacing w:line="360" w:lineRule="auto"/>
        <w:ind w:firstLine="600" w:firstLineChars="200"/>
        <w:rPr>
          <w:rFonts w:ascii="仿宋" w:hAnsi="仿宋" w:eastAsia="仿宋" w:cs="仿宋"/>
          <w:bCs/>
          <w:sz w:val="30"/>
          <w:szCs w:val="30"/>
        </w:rPr>
      </w:pPr>
      <w:r>
        <w:rPr>
          <w:rFonts w:hint="eastAsia" w:ascii="仿宋" w:hAnsi="仿宋" w:eastAsia="仿宋" w:cs="仿宋"/>
          <w:bCs/>
          <w:sz w:val="30"/>
          <w:szCs w:val="30"/>
        </w:rPr>
        <w:t>(4)科研成果、获奖证书等原件及复印件</w:t>
      </w:r>
      <w:r>
        <w:rPr>
          <w:rFonts w:hint="eastAsia" w:ascii="仿宋" w:hAnsi="仿宋" w:eastAsia="仿宋" w:cs="仿宋"/>
          <w:bCs/>
          <w:color w:val="333238"/>
          <w:sz w:val="30"/>
          <w:szCs w:val="30"/>
        </w:rPr>
        <w:t>（该材料不作为必须提供材料，供复试专家组参考）</w:t>
      </w:r>
      <w:r>
        <w:rPr>
          <w:rFonts w:hint="eastAsia" w:ascii="仿宋" w:hAnsi="仿宋" w:eastAsia="仿宋" w:cs="仿宋"/>
          <w:bCs/>
          <w:sz w:val="30"/>
          <w:szCs w:val="30"/>
        </w:rPr>
        <w:t>；</w:t>
      </w:r>
    </w:p>
    <w:p>
      <w:pPr>
        <w:pStyle w:val="11"/>
        <w:spacing w:line="360" w:lineRule="auto"/>
        <w:ind w:firstLine="600"/>
        <w:rPr>
          <w:rFonts w:ascii="仿宋" w:hAnsi="仿宋" w:eastAsia="仿宋" w:cs="仿宋"/>
          <w:bCs/>
          <w:sz w:val="30"/>
          <w:szCs w:val="30"/>
        </w:rPr>
      </w:pPr>
      <w:r>
        <w:rPr>
          <w:rFonts w:hint="eastAsia" w:ascii="仿宋" w:hAnsi="仿宋" w:eastAsia="仿宋" w:cs="仿宋"/>
          <w:bCs/>
          <w:sz w:val="30"/>
          <w:szCs w:val="30"/>
        </w:rPr>
        <w:t>(5)缴纳复试费用。</w:t>
      </w:r>
    </w:p>
    <w:p>
      <w:pPr>
        <w:widowControl/>
        <w:spacing w:line="360" w:lineRule="auto"/>
        <w:ind w:firstLine="602" w:firstLineChars="200"/>
        <w:rPr>
          <w:rFonts w:ascii="仿宋" w:hAnsi="仿宋" w:eastAsia="仿宋" w:cs="仿宋"/>
          <w:b/>
          <w:sz w:val="30"/>
          <w:szCs w:val="30"/>
        </w:rPr>
      </w:pPr>
      <w:r>
        <w:rPr>
          <w:rFonts w:hint="eastAsia" w:ascii="仿宋" w:hAnsi="仿宋" w:eastAsia="仿宋" w:cs="仿宋"/>
          <w:b/>
          <w:sz w:val="30"/>
          <w:szCs w:val="30"/>
        </w:rPr>
        <w:t>因疫情影响，接收推免生复试工作采用远程网络复试形式。所需材料提供原件扫描件。</w:t>
      </w:r>
    </w:p>
    <w:p>
      <w:pPr>
        <w:widowControl/>
        <w:spacing w:line="360" w:lineRule="auto"/>
        <w:ind w:firstLine="602" w:firstLineChars="200"/>
        <w:rPr>
          <w:rFonts w:ascii="仿宋" w:hAnsi="仿宋" w:eastAsia="仿宋" w:cs="仿宋"/>
          <w:bCs/>
          <w:sz w:val="30"/>
          <w:szCs w:val="30"/>
        </w:rPr>
      </w:pPr>
      <w:r>
        <w:rPr>
          <w:rFonts w:hint="eastAsia" w:ascii="仿宋" w:hAnsi="仿宋" w:eastAsia="仿宋" w:cs="仿宋"/>
          <w:b/>
          <w:sz w:val="30"/>
          <w:szCs w:val="30"/>
        </w:rPr>
        <w:t>3、</w:t>
      </w:r>
      <w:r>
        <w:rPr>
          <w:rFonts w:hint="eastAsia" w:ascii="仿宋" w:hAnsi="仿宋" w:eastAsia="仿宋" w:cs="仿宋"/>
          <w:bCs/>
          <w:sz w:val="30"/>
          <w:szCs w:val="30"/>
        </w:rPr>
        <w:t>通过我校复试考核的推免生，收到待录取通知后，须在24小时内通过“推免服务系统”确认接受，否则视为放弃。</w:t>
      </w:r>
    </w:p>
    <w:p>
      <w:pPr>
        <w:spacing w:line="360" w:lineRule="auto"/>
        <w:ind w:firstLine="602" w:firstLineChars="200"/>
        <w:rPr>
          <w:rFonts w:ascii="仿宋" w:hAnsi="仿宋" w:eastAsia="仿宋" w:cs="仿宋"/>
          <w:color w:val="000000"/>
          <w:sz w:val="30"/>
          <w:szCs w:val="30"/>
        </w:rPr>
      </w:pPr>
      <w:r>
        <w:rPr>
          <w:rStyle w:val="8"/>
          <w:rFonts w:hint="eastAsia" w:ascii="仿宋" w:hAnsi="仿宋" w:eastAsia="仿宋" w:cs="仿宋"/>
          <w:color w:val="000000"/>
          <w:sz w:val="30"/>
          <w:szCs w:val="30"/>
        </w:rPr>
        <w:t>五、复试形式及内容</w:t>
      </w:r>
    </w:p>
    <w:p>
      <w:pPr>
        <w:widowControl/>
        <w:spacing w:line="360" w:lineRule="auto"/>
        <w:ind w:firstLine="600" w:firstLineChars="200"/>
        <w:rPr>
          <w:rFonts w:ascii="仿宋" w:hAnsi="仿宋" w:eastAsia="仿宋" w:cs="仿宋"/>
          <w:b/>
          <w:sz w:val="30"/>
          <w:szCs w:val="30"/>
        </w:rPr>
      </w:pPr>
      <w:r>
        <w:rPr>
          <w:rFonts w:hint="eastAsia" w:ascii="仿宋" w:hAnsi="仿宋" w:eastAsia="仿宋" w:cs="仿宋"/>
          <w:color w:val="000000"/>
          <w:kern w:val="0"/>
          <w:sz w:val="30"/>
          <w:szCs w:val="30"/>
        </w:rPr>
        <w:t>1.考核方式：</w:t>
      </w:r>
      <w:r>
        <w:rPr>
          <w:rFonts w:hint="eastAsia" w:ascii="仿宋" w:hAnsi="仿宋" w:eastAsia="仿宋" w:cs="仿宋"/>
          <w:b/>
          <w:sz w:val="30"/>
          <w:szCs w:val="30"/>
        </w:rPr>
        <w:t>远程网络复试形式</w:t>
      </w:r>
    </w:p>
    <w:p>
      <w:pPr>
        <w:widowControl/>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2.考核内容：专业素养、综合能力、语言表达、精神面貌</w:t>
      </w:r>
    </w:p>
    <w:p>
      <w:pPr>
        <w:widowControl/>
        <w:spacing w:line="360" w:lineRule="auto"/>
        <w:ind w:firstLine="600" w:firstLineChars="200"/>
        <w:rPr>
          <w:rFonts w:hint="default" w:ascii="仿宋" w:hAnsi="仿宋" w:eastAsia="仿宋" w:cs="仿宋"/>
          <w:b/>
          <w:kern w:val="0"/>
          <w:sz w:val="30"/>
          <w:szCs w:val="30"/>
          <w:lang w:val="en-US" w:eastAsia="zh-CN"/>
        </w:rPr>
      </w:pPr>
      <w:r>
        <w:rPr>
          <w:rFonts w:hint="eastAsia" w:ascii="仿宋" w:hAnsi="仿宋" w:eastAsia="仿宋" w:cs="仿宋"/>
          <w:color w:val="000000"/>
          <w:kern w:val="0"/>
          <w:sz w:val="30"/>
          <w:szCs w:val="30"/>
        </w:rPr>
        <w:t>3.录取办法：按综合成绩排名次序录取（综合成绩包括面试成绩和“其他规定”中的优先情况）</w:t>
      </w:r>
      <w:bookmarkStart w:id="0" w:name="_GoBack"/>
      <w:bookmarkEnd w:id="0"/>
    </w:p>
    <w:p>
      <w:pPr>
        <w:spacing w:line="360" w:lineRule="auto"/>
        <w:ind w:firstLine="600" w:firstLineChars="200"/>
        <w:rPr>
          <w:rFonts w:ascii="仿宋" w:hAnsi="仿宋" w:eastAsia="仿宋" w:cs="仿宋"/>
          <w:b/>
          <w:color w:val="000000"/>
          <w:sz w:val="30"/>
          <w:szCs w:val="30"/>
        </w:rPr>
      </w:pPr>
      <w:r>
        <w:rPr>
          <w:rStyle w:val="8"/>
          <w:rFonts w:hint="eastAsia" w:ascii="仿宋" w:hAnsi="仿宋" w:eastAsia="仿宋" w:cs="仿宋"/>
          <w:b w:val="0"/>
          <w:bCs/>
          <w:color w:val="000000"/>
          <w:sz w:val="30"/>
          <w:szCs w:val="30"/>
        </w:rPr>
        <w:t>4、复试时间安排</w:t>
      </w:r>
    </w:p>
    <w:p>
      <w:pPr>
        <w:widowControl/>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复试时间：2020年10月13日下午2:30</w:t>
      </w:r>
    </w:p>
    <w:p>
      <w:pPr>
        <w:widowControl/>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远程网络复试平台：云视讯或者腾讯会议</w:t>
      </w:r>
    </w:p>
    <w:p>
      <w:pPr>
        <w:spacing w:line="360" w:lineRule="auto"/>
        <w:ind w:firstLine="602" w:firstLineChars="200"/>
        <w:jc w:val="left"/>
        <w:rPr>
          <w:rFonts w:ascii="仿宋" w:hAnsi="仿宋" w:eastAsia="仿宋" w:cs="仿宋"/>
          <w:b/>
          <w:color w:val="000000"/>
          <w:sz w:val="30"/>
          <w:szCs w:val="30"/>
        </w:rPr>
      </w:pPr>
      <w:r>
        <w:rPr>
          <w:rFonts w:hint="eastAsia" w:ascii="仿宋" w:hAnsi="仿宋" w:eastAsia="仿宋" w:cs="仿宋"/>
          <w:b/>
          <w:color w:val="000000"/>
          <w:sz w:val="30"/>
          <w:szCs w:val="30"/>
        </w:rPr>
        <w:t>六、国际教育学院联系方式</w:t>
      </w:r>
    </w:p>
    <w:p>
      <w:pPr>
        <w:spacing w:line="360" w:lineRule="auto"/>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联系人：崔洪斌、梁园园</w:t>
      </w:r>
    </w:p>
    <w:p>
      <w:pPr>
        <w:spacing w:line="360" w:lineRule="auto"/>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联系电话：022-23240701、23263544</w:t>
      </w:r>
    </w:p>
    <w:p>
      <w:pPr>
        <w:spacing w:line="360" w:lineRule="auto"/>
        <w:ind w:firstLine="600" w:firstLineChars="200"/>
        <w:jc w:val="left"/>
        <w:rPr>
          <w:rFonts w:ascii="仿宋" w:hAnsi="仿宋" w:eastAsia="仿宋" w:cs="仿宋"/>
          <w:color w:val="000000"/>
          <w:kern w:val="0"/>
          <w:sz w:val="30"/>
          <w:szCs w:val="30"/>
        </w:rPr>
      </w:pPr>
    </w:p>
    <w:p>
      <w:pPr>
        <w:pStyle w:val="11"/>
        <w:spacing w:line="360" w:lineRule="auto"/>
        <w:ind w:firstLine="600"/>
        <w:rPr>
          <w:rFonts w:ascii="仿宋" w:hAnsi="仿宋" w:eastAsia="仿宋" w:cs="仿宋"/>
          <w:bCs/>
          <w:sz w:val="30"/>
          <w:szCs w:val="30"/>
        </w:rPr>
      </w:pPr>
      <w:r>
        <w:rPr>
          <w:rFonts w:hint="eastAsia" w:ascii="仿宋" w:hAnsi="仿宋" w:eastAsia="仿宋" w:cs="仿宋"/>
          <w:bCs/>
          <w:sz w:val="30"/>
          <w:szCs w:val="30"/>
        </w:rPr>
        <w:t xml:space="preserve"> </w:t>
      </w:r>
      <w:r>
        <w:rPr>
          <w:rFonts w:ascii="仿宋" w:hAnsi="仿宋" w:eastAsia="仿宋" w:cs="仿宋"/>
          <w:bCs/>
          <w:sz w:val="30"/>
          <w:szCs w:val="30"/>
        </w:rPr>
        <w:t xml:space="preserve">                                      </w:t>
      </w:r>
      <w:r>
        <w:rPr>
          <w:rFonts w:hint="eastAsia" w:ascii="仿宋" w:hAnsi="仿宋" w:eastAsia="仿宋" w:cs="仿宋"/>
          <w:bCs/>
          <w:sz w:val="30"/>
          <w:szCs w:val="30"/>
        </w:rPr>
        <w:t>国际教育学院</w:t>
      </w:r>
    </w:p>
    <w:p>
      <w:pPr>
        <w:pStyle w:val="11"/>
        <w:spacing w:line="360" w:lineRule="auto"/>
        <w:ind w:firstLine="600"/>
        <w:rPr>
          <w:rFonts w:hint="eastAsia" w:ascii="仿宋" w:hAnsi="仿宋" w:eastAsia="仿宋" w:cs="仿宋"/>
          <w:bCs/>
          <w:sz w:val="30"/>
          <w:szCs w:val="30"/>
        </w:rPr>
      </w:pPr>
      <w:r>
        <w:rPr>
          <w:rFonts w:hint="eastAsia" w:ascii="仿宋" w:hAnsi="仿宋" w:eastAsia="仿宋" w:cs="仿宋"/>
          <w:bCs/>
          <w:sz w:val="30"/>
          <w:szCs w:val="30"/>
        </w:rPr>
        <w:t xml:space="preserve"> </w:t>
      </w:r>
      <w:r>
        <w:rPr>
          <w:rFonts w:ascii="仿宋" w:hAnsi="仿宋" w:eastAsia="仿宋" w:cs="仿宋"/>
          <w:bCs/>
          <w:sz w:val="30"/>
          <w:szCs w:val="30"/>
        </w:rPr>
        <w:t xml:space="preserve">                                     </w:t>
      </w:r>
      <w:r>
        <w:rPr>
          <w:rFonts w:hint="eastAsia" w:ascii="仿宋" w:hAnsi="仿宋" w:eastAsia="仿宋" w:cs="仿宋"/>
          <w:bCs/>
          <w:sz w:val="30"/>
          <w:szCs w:val="30"/>
        </w:rPr>
        <w:t>2020.9.28</w:t>
      </w:r>
    </w:p>
    <w:p>
      <w:pPr>
        <w:pStyle w:val="11"/>
        <w:spacing w:line="360" w:lineRule="auto"/>
        <w:ind w:firstLine="600"/>
        <w:rPr>
          <w:rFonts w:ascii="仿宋" w:hAnsi="仿宋" w:eastAsia="仿宋" w:cs="仿宋"/>
          <w:bCs/>
          <w:sz w:val="30"/>
          <w:szCs w:val="30"/>
        </w:rPr>
      </w:pPr>
    </w:p>
    <w:p>
      <w:pPr>
        <w:pStyle w:val="11"/>
        <w:spacing w:line="360" w:lineRule="auto"/>
        <w:ind w:firstLine="600"/>
        <w:rPr>
          <w:rFonts w:ascii="仿宋" w:hAnsi="仿宋" w:eastAsia="仿宋" w:cs="仿宋"/>
          <w:bCs/>
          <w:sz w:val="30"/>
          <w:szCs w:val="30"/>
        </w:rPr>
      </w:pPr>
    </w:p>
    <w:p>
      <w:pPr>
        <w:pStyle w:val="11"/>
        <w:spacing w:line="360" w:lineRule="auto"/>
        <w:ind w:firstLine="600"/>
        <w:rPr>
          <w:rFonts w:ascii="仿宋" w:hAnsi="仿宋" w:eastAsia="仿宋" w:cs="仿宋"/>
          <w:bCs/>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3ED0"/>
    <w:rsid w:val="0002202B"/>
    <w:rsid w:val="000630F3"/>
    <w:rsid w:val="000C25E0"/>
    <w:rsid w:val="0011384E"/>
    <w:rsid w:val="00130916"/>
    <w:rsid w:val="00134F9B"/>
    <w:rsid w:val="00172A27"/>
    <w:rsid w:val="00175753"/>
    <w:rsid w:val="00191553"/>
    <w:rsid w:val="001A13DC"/>
    <w:rsid w:val="0021622A"/>
    <w:rsid w:val="002265B2"/>
    <w:rsid w:val="002A1948"/>
    <w:rsid w:val="002B3122"/>
    <w:rsid w:val="002F6827"/>
    <w:rsid w:val="003119F1"/>
    <w:rsid w:val="003344A8"/>
    <w:rsid w:val="003366E2"/>
    <w:rsid w:val="00380E88"/>
    <w:rsid w:val="003A2205"/>
    <w:rsid w:val="003A481D"/>
    <w:rsid w:val="003B2BF9"/>
    <w:rsid w:val="003E0603"/>
    <w:rsid w:val="0040672C"/>
    <w:rsid w:val="00413765"/>
    <w:rsid w:val="0048688A"/>
    <w:rsid w:val="004D7C0D"/>
    <w:rsid w:val="00575F41"/>
    <w:rsid w:val="00585EA5"/>
    <w:rsid w:val="005A5819"/>
    <w:rsid w:val="005B5876"/>
    <w:rsid w:val="005D5094"/>
    <w:rsid w:val="0064651F"/>
    <w:rsid w:val="00660FC5"/>
    <w:rsid w:val="00670348"/>
    <w:rsid w:val="006E68B1"/>
    <w:rsid w:val="007519BB"/>
    <w:rsid w:val="007B1133"/>
    <w:rsid w:val="007D0347"/>
    <w:rsid w:val="007D4EAA"/>
    <w:rsid w:val="007F3E07"/>
    <w:rsid w:val="007F746F"/>
    <w:rsid w:val="00801B97"/>
    <w:rsid w:val="00827AE3"/>
    <w:rsid w:val="00846A32"/>
    <w:rsid w:val="008A53AF"/>
    <w:rsid w:val="008D380F"/>
    <w:rsid w:val="008D5283"/>
    <w:rsid w:val="00920893"/>
    <w:rsid w:val="009738B0"/>
    <w:rsid w:val="009B3C61"/>
    <w:rsid w:val="00A02768"/>
    <w:rsid w:val="00A16160"/>
    <w:rsid w:val="00A414DC"/>
    <w:rsid w:val="00A60256"/>
    <w:rsid w:val="00A77CC9"/>
    <w:rsid w:val="00B15058"/>
    <w:rsid w:val="00B4417D"/>
    <w:rsid w:val="00B50CD1"/>
    <w:rsid w:val="00BD52A6"/>
    <w:rsid w:val="00C21BFD"/>
    <w:rsid w:val="00C41DC6"/>
    <w:rsid w:val="00C54BB1"/>
    <w:rsid w:val="00C6509A"/>
    <w:rsid w:val="00C924B4"/>
    <w:rsid w:val="00CA6086"/>
    <w:rsid w:val="00CD42E7"/>
    <w:rsid w:val="00D17CEF"/>
    <w:rsid w:val="00D54297"/>
    <w:rsid w:val="00D60454"/>
    <w:rsid w:val="00DF2F3A"/>
    <w:rsid w:val="00E00ABA"/>
    <w:rsid w:val="00E1428F"/>
    <w:rsid w:val="00E26736"/>
    <w:rsid w:val="00E76AF4"/>
    <w:rsid w:val="00F0114D"/>
    <w:rsid w:val="00F07EF6"/>
    <w:rsid w:val="00FB3F01"/>
    <w:rsid w:val="00FD4139"/>
    <w:rsid w:val="05BC7DC0"/>
    <w:rsid w:val="0C9532D8"/>
    <w:rsid w:val="164653EE"/>
    <w:rsid w:val="18034FB6"/>
    <w:rsid w:val="2C951F52"/>
    <w:rsid w:val="307F2C61"/>
    <w:rsid w:val="382875FA"/>
    <w:rsid w:val="3A5E7E61"/>
    <w:rsid w:val="3D65556D"/>
    <w:rsid w:val="42C56EBC"/>
    <w:rsid w:val="4B206388"/>
    <w:rsid w:val="4F9C3DF5"/>
    <w:rsid w:val="50E66F42"/>
    <w:rsid w:val="52DA4131"/>
    <w:rsid w:val="55D071FA"/>
    <w:rsid w:val="5C8E5E4F"/>
    <w:rsid w:val="68AD355F"/>
    <w:rsid w:val="6B046999"/>
    <w:rsid w:val="716A4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footer"/>
    <w:basedOn w:val="1"/>
    <w:link w:val="13"/>
    <w:unhideWhenUsed/>
    <w:qFormat/>
    <w:uiPriority w:val="0"/>
    <w:pPr>
      <w:tabs>
        <w:tab w:val="center" w:pos="4153"/>
        <w:tab w:val="right" w:pos="8306"/>
      </w:tabs>
      <w:snapToGrid w:val="0"/>
      <w:jc w:val="left"/>
    </w:pPr>
    <w:rPr>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rPr>
  </w:style>
  <w:style w:type="character" w:styleId="8">
    <w:name w:val="Strong"/>
    <w:basedOn w:val="7"/>
    <w:qFormat/>
    <w:uiPriority w:val="22"/>
    <w:rPr>
      <w:b/>
    </w:rPr>
  </w:style>
  <w:style w:type="character" w:styleId="9">
    <w:name w:val="Hyperlink"/>
    <w:basedOn w:val="7"/>
    <w:unhideWhenUsed/>
    <w:qFormat/>
    <w:uiPriority w:val="99"/>
    <w:rPr>
      <w:color w:val="0000FF"/>
      <w:u w:val="single"/>
    </w:rPr>
  </w:style>
  <w:style w:type="character" w:customStyle="1" w:styleId="10">
    <w:name w:val="newstitle1"/>
    <w:basedOn w:val="7"/>
    <w:qFormat/>
    <w:uiPriority w:val="0"/>
    <w:rPr>
      <w:rFonts w:ascii="Verdana" w:hAnsi="Verdana" w:cs="Verdana"/>
      <w:color w:val="2E7CB3"/>
      <w:sz w:val="42"/>
      <w:szCs w:val="42"/>
    </w:rPr>
  </w:style>
  <w:style w:type="paragraph" w:customStyle="1" w:styleId="11">
    <w:name w:val="列出段落1"/>
    <w:basedOn w:val="1"/>
    <w:qFormat/>
    <w:uiPriority w:val="0"/>
    <w:pPr>
      <w:ind w:firstLine="420" w:firstLineChars="200"/>
    </w:pPr>
    <w:rPr>
      <w:rFonts w:ascii="Calibri" w:hAnsi="Calibri"/>
      <w:szCs w:val="22"/>
    </w:rPr>
  </w:style>
  <w:style w:type="character" w:customStyle="1" w:styleId="12">
    <w:name w:val="页眉 字符"/>
    <w:basedOn w:val="7"/>
    <w:link w:val="4"/>
    <w:qFormat/>
    <w:uiPriority w:val="0"/>
    <w:rPr>
      <w:kern w:val="2"/>
      <w:sz w:val="18"/>
      <w:szCs w:val="18"/>
    </w:rPr>
  </w:style>
  <w:style w:type="character" w:customStyle="1" w:styleId="13">
    <w:name w:val="页脚 字符"/>
    <w:basedOn w:val="7"/>
    <w:link w:val="3"/>
    <w:qFormat/>
    <w:uiPriority w:val="0"/>
    <w:rPr>
      <w:kern w:val="2"/>
      <w:sz w:val="18"/>
      <w:szCs w:val="18"/>
    </w:rPr>
  </w:style>
  <w:style w:type="paragraph" w:styleId="14">
    <w:name w:val="List Paragraph"/>
    <w:basedOn w:val="1"/>
    <w:qFormat/>
    <w:uiPriority w:val="99"/>
    <w:pPr>
      <w:ind w:firstLine="420" w:firstLineChars="200"/>
    </w:pPr>
  </w:style>
  <w:style w:type="character" w:customStyle="1" w:styleId="15">
    <w:name w:val="日期 字符"/>
    <w:basedOn w:val="7"/>
    <w:link w:val="2"/>
    <w:semiHidden/>
    <w:qFormat/>
    <w:uiPriority w:val="99"/>
    <w:rPr>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208</Words>
  <Characters>1186</Characters>
  <Lines>9</Lines>
  <Paragraphs>2</Paragraphs>
  <TotalTime>19</TotalTime>
  <ScaleCrop>false</ScaleCrop>
  <LinksUpToDate>false</LinksUpToDate>
  <CharactersWithSpaces>1392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2020-09-28T05:48:00Z</dcterms:created>
  <dc:creator>Administrator</dc:creator>
  <cp:lastModifiedBy>李敏</cp:lastModifiedBy>
  <cp:lastPrinted>2020-09-30T01:58:00Z</cp:lastPrinted>
  <dcterms:modified xsi:type="dcterms:W3CDTF">2020-09-30T09:58:59Z</dcterms:modified>
  <dc:title>2015年外国语言文学文化研究中心关于推免生招生的管理细则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